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jc w:val="center"/>
        <w:rPr>
          <w:rFonts w:ascii="Times New Roman" w:hAnsi="Times New Roman" w:eastAsia="PT Astra Serif" w:cs="Times New Roman"/>
          <w:b/>
          <w:bCs/>
          <w:sz w:val="28"/>
          <w:szCs w:val="28"/>
        </w:rPr>
      </w:pPr>
      <w:r>
        <w:rPr>
          <w:rFonts w:cs="Times New Roman" w:ascii="Times New Roman" w:hAnsi="Times New Roman"/>
          <w:b/>
          <w:sz w:val="28"/>
          <w:szCs w:val="28"/>
        </w:rPr>
        <w:br/>
      </w:r>
      <w:r>
        <w:rPr>
          <w:rFonts w:eastAsia="PT Astra Serif" w:cs="Times New Roman" w:ascii="Times New Roman" w:hAnsi="Times New Roman"/>
          <w:b/>
          <w:bCs/>
          <w:sz w:val="28"/>
          <w:szCs w:val="28"/>
        </w:rPr>
        <w:t xml:space="preserve">В Управлении Росреестра по Волгоградской области </w:t>
        <w:br/>
        <w:t xml:space="preserve">состоялось заседание коллегии по подведению итогов 2024 года </w:t>
        <w:br/>
        <w:t>и реализации поставленных задач в 2025 году</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 xml:space="preserve">В ходе заседания награждены ведомственными наградами и благодарственными письмами руководителя Управления государственные гражданские служащие Управления и начальник управления земельных отношений комитета по управлению государственным имуществом Волгоградской области Алексей Логвин за эффективную реализацию государственной программы «Национальная система пространственных данных». </w:t>
        <w:br/>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 xml:space="preserve">Руководитель Управления </w:t>
      </w:r>
      <w:r>
        <w:rPr>
          <w:rFonts w:eastAsia="PT Astra Serif" w:cs="Times New Roman" w:ascii="Times New Roman" w:hAnsi="Times New Roman"/>
          <w:b/>
          <w:bCs/>
          <w:sz w:val="28"/>
          <w:szCs w:val="28"/>
        </w:rPr>
        <w:t>Наталья Сапега</w:t>
      </w:r>
      <w:r>
        <w:rPr>
          <w:rFonts w:eastAsia="PT Astra Serif" w:cs="Times New Roman" w:ascii="Times New Roman" w:hAnsi="Times New Roman"/>
          <w:sz w:val="28"/>
          <w:szCs w:val="28"/>
        </w:rPr>
        <w:t xml:space="preserve"> поблагодарила всех</w:t>
        <w:br/>
        <w:t xml:space="preserve">за качественное и эффективное выполнение государственных функций, возложенных на Управление в 2024 году.   </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i/>
          <w:sz w:val="28"/>
          <w:szCs w:val="28"/>
        </w:rPr>
        <w:t>«Комплексные кадастровые работы - это результат командной работы Управления и региональных органов власти в достижении поставленных перед нами задач государством. Наш опыт в проведении комплексных кадастровых работ в Волгоградской области позволяет достичь максимальной и качественной результативности»,</w:t>
      </w:r>
      <w:r>
        <w:rPr>
          <w:rFonts w:eastAsia="PT Astra Serif" w:cs="Times New Roman" w:ascii="Times New Roman" w:hAnsi="Times New Roman"/>
          <w:sz w:val="28"/>
          <w:szCs w:val="28"/>
        </w:rPr>
        <w:t xml:space="preserve"> - отметил начальник управления земельных отношений комитета по управлению государственным имуществом Волгоградской области </w:t>
      </w:r>
      <w:r>
        <w:rPr>
          <w:rFonts w:eastAsia="PT Astra Serif" w:cs="Times New Roman" w:ascii="Times New Roman" w:hAnsi="Times New Roman"/>
          <w:b/>
          <w:bCs/>
          <w:sz w:val="28"/>
          <w:szCs w:val="28"/>
        </w:rPr>
        <w:t>Алексей Логвин</w:t>
      </w:r>
      <w:r>
        <w:rPr>
          <w:rFonts w:eastAsia="PT Astra Serif" w:cs="Times New Roman" w:ascii="Times New Roman" w:hAnsi="Times New Roman"/>
          <w:sz w:val="28"/>
          <w:szCs w:val="28"/>
        </w:rPr>
        <w:t xml:space="preserve">.  </w:t>
        <w:br/>
        <w:t xml:space="preserve"> </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Участники заседания коллегии заслушали доклады о результатах деятельности за 2024 год председателя Общественного совета при Управлении Росреестра по Волгоградской области Романа Созарукова, председателя Профсоюза работников Управления Росреестра по Волгоградской области Антона Лопашова, директора филиала ППК «Роскадастр» по Волгоградской области директора филиала ППК «Роскадастр» по Волгоградской области Константина Миндигаяса и руководства Управления.</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Цифровизация сферы недвижимости, ее развитие и удобство позволили упростить предоставление государственных услуг Росреестра для граждан</w:t>
        <w:br/>
        <w:t>и представителей бизнес-сообществ. В 2024 году Управлением достигнуты высокие значения в осуществлении учетно-регистрационной деятельности,</w:t>
        <w:br/>
        <w:t xml:space="preserve">в связи с чем уровень удовлетворенности граждан составил 99,9%. </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i/>
          <w:sz w:val="28"/>
          <w:szCs w:val="28"/>
        </w:rPr>
        <w:t>«Динамичное развитие системы Росреестра позволяют не только усовершенствовать процессы предоставления государственных услуг,</w:t>
        <w:br/>
        <w:t>но и выстроить эффективное взаимодействие заявителей с государством, поднять уровень их удовлетворенности и доверия к государственным структурам»,</w:t>
      </w:r>
      <w:r>
        <w:rPr>
          <w:rFonts w:eastAsia="PT Astra Serif" w:cs="Times New Roman" w:ascii="Times New Roman" w:hAnsi="Times New Roman"/>
          <w:sz w:val="28"/>
          <w:szCs w:val="28"/>
        </w:rPr>
        <w:t xml:space="preserve"> - подчеркнул исполняющий обязанности заместителя руководителя Управления </w:t>
      </w:r>
      <w:r>
        <w:rPr>
          <w:rFonts w:eastAsia="PT Astra Serif" w:cs="Times New Roman" w:ascii="Times New Roman" w:hAnsi="Times New Roman"/>
          <w:b/>
          <w:bCs/>
          <w:sz w:val="28"/>
          <w:szCs w:val="28"/>
        </w:rPr>
        <w:t>Дмитрий Бабайцев</w:t>
      </w:r>
      <w:r>
        <w:rPr>
          <w:rFonts w:eastAsia="PT Astra Serif"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Одним из значимых векторов развития Управления является полный</w:t>
        <w:br/>
        <w:t>и точный реестр. Внесены сведения о границах населенных пунктов, территориальных зон, объектах культурного наследия и территорий объектов культурного наследия. В регионе успешно реализуются такие проекты для людей как «Земля для стройки» и «Земля для туризма». С 2020 года проводятся комплексные кадастровые работы, преимущество которых заключается в удобстве уточнения границ земельных участков и исправления кадастровых ошибок.</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i/>
          <w:sz w:val="28"/>
          <w:szCs w:val="28"/>
        </w:rPr>
        <w:t>«В регионе нарастающими темпами наполняется информацией</w:t>
        <w:br/>
        <w:t>ФГИС ЕЦП НСПД, что позволяет эффективнее управлять земельными ресурсами и оперативнее оказывать услуги, в том числе в электронном виде. В 2024 году с помощью проекта «Земля для стройки» вовлечены</w:t>
        <w:br/>
        <w:t>в региональный жилищный оборот 457 земельных участков, из которых</w:t>
        <w:br/>
        <w:t>329 предоставлены льготным категориям граждан. С помощью проводимых комплексных кадастровых работ внесены сведения в отношении более 54 000 объектов недвижимости»,</w:t>
      </w:r>
      <w:r>
        <w:rPr>
          <w:rFonts w:eastAsia="PT Astra Serif" w:cs="Times New Roman" w:ascii="Times New Roman" w:hAnsi="Times New Roman"/>
          <w:sz w:val="28"/>
          <w:szCs w:val="28"/>
        </w:rPr>
        <w:t xml:space="preserve"> - уточнила заместитель руководителя</w:t>
        <w:br/>
      </w:r>
      <w:r>
        <w:rPr>
          <w:rFonts w:eastAsia="PT Astra Serif" w:cs="Times New Roman" w:ascii="Times New Roman" w:hAnsi="Times New Roman"/>
          <w:b/>
          <w:bCs/>
          <w:sz w:val="28"/>
          <w:szCs w:val="28"/>
        </w:rPr>
        <w:t>Наталья Коломыцева</w:t>
      </w:r>
      <w:r>
        <w:rPr>
          <w:rFonts w:eastAsia="PT Astra Serif" w:cs="Times New Roman" w:ascii="Times New Roman" w:hAnsi="Times New Roman"/>
          <w:sz w:val="28"/>
          <w:szCs w:val="28"/>
        </w:rPr>
        <w:t>.</w:t>
      </w:r>
      <w:bookmarkStart w:id="0" w:name="_GoBack"/>
      <w:bookmarkEnd w:id="0"/>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t>В рамках государственного земельного надзора Управлением</w:t>
        <w:br/>
        <w:t>в 2024 году обследовано с помощью беспилотного воздушного судна более</w:t>
        <w:br/>
        <w:t xml:space="preserve">1 200 га. Кроме того, осуществляются профилактические мероприятия с целью повышения эффективности использования государственных и региональных земельных ресурсов. </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i/>
          <w:sz w:val="28"/>
          <w:szCs w:val="28"/>
        </w:rPr>
        <w:t xml:space="preserve">  </w:t>
      </w:r>
      <w:r>
        <w:rPr>
          <w:rFonts w:eastAsia="PT Astra Serif" w:cs="Times New Roman" w:ascii="Times New Roman" w:hAnsi="Times New Roman"/>
          <w:i/>
          <w:sz w:val="28"/>
          <w:szCs w:val="28"/>
        </w:rPr>
        <w:t>«Профилактические мероприятия, проводимые Управлением</w:t>
        <w:br/>
        <w:t>в государственном земельном надзоре, являются приоритетными</w:t>
        <w:br/>
        <w:t>по отношению к иным контрольным (надзорным) мероприятиям.</w:t>
        <w:br/>
        <w:t>Они направлены на предупреждение нарушений земельного законодательства и осуществление контроля за рациональным использованием земель</w:t>
        <w:br/>
        <w:t>на территории региона»,</w:t>
      </w:r>
      <w:r>
        <w:rPr>
          <w:rFonts w:eastAsia="PT Astra Serif" w:cs="Times New Roman" w:ascii="Times New Roman" w:hAnsi="Times New Roman"/>
          <w:sz w:val="28"/>
          <w:szCs w:val="28"/>
        </w:rPr>
        <w:t xml:space="preserve"> - разъяснила заместитель руководителя Управления </w:t>
      </w:r>
      <w:r>
        <w:rPr>
          <w:rFonts w:eastAsia="PT Astra Serif" w:cs="Times New Roman" w:ascii="Times New Roman" w:hAnsi="Times New Roman"/>
          <w:b/>
          <w:bCs/>
          <w:sz w:val="28"/>
          <w:szCs w:val="28"/>
        </w:rPr>
        <w:t>Оксана Чеганова</w:t>
      </w:r>
      <w:r>
        <w:rPr>
          <w:rFonts w:eastAsia="PT Astra Serif" w:cs="Times New Roman" w:ascii="Times New Roman" w:hAnsi="Times New Roman"/>
          <w:sz w:val="28"/>
          <w:szCs w:val="28"/>
        </w:rPr>
        <w:t>.</w:t>
      </w:r>
    </w:p>
    <w:p>
      <w:pPr>
        <w:pStyle w:val="Normal"/>
        <w:spacing w:lineRule="auto" w:line="240" w:before="0" w:after="0"/>
        <w:ind w:firstLine="709"/>
        <w:jc w:val="both"/>
        <w:rPr>
          <w:rFonts w:ascii="Times New Roman" w:hAnsi="Times New Roman" w:eastAsia="PT Astra Serif" w:cs="Times New Roman"/>
          <w:sz w:val="28"/>
          <w:szCs w:val="28"/>
        </w:rPr>
      </w:pPr>
      <w:r>
        <w:rPr>
          <w:rFonts w:eastAsia="PT Astra Serif" w:cs="Times New Roman" w:ascii="Times New Roman" w:hAnsi="Times New Roman"/>
          <w:sz w:val="28"/>
          <w:szCs w:val="28"/>
        </w:rPr>
      </w:r>
    </w:p>
    <w:p>
      <w:pPr>
        <w:pStyle w:val="Normal"/>
        <w:spacing w:lineRule="auto" w:line="240" w:before="0" w:after="0"/>
        <w:ind w:firstLine="709"/>
        <w:jc w:val="both"/>
        <w:rPr>
          <w:rFonts w:ascii="Times New Roman" w:hAnsi="Times New Roman" w:eastAsia="PT Astra Serif" w:cs="Times New Roman"/>
          <w:i/>
          <w:i/>
          <w:sz w:val="28"/>
          <w:szCs w:val="28"/>
        </w:rPr>
      </w:pPr>
      <w:r>
        <w:rPr>
          <w:rFonts w:eastAsia="PT Astra Serif" w:cs="Times New Roman" w:ascii="Times New Roman" w:hAnsi="Times New Roman"/>
          <w:sz w:val="28"/>
          <w:szCs w:val="28"/>
        </w:rPr>
        <w:t xml:space="preserve">Председатель Общественного совета при Управлении Росреестра по Волгоградской области </w:t>
      </w:r>
      <w:r>
        <w:rPr>
          <w:rFonts w:eastAsia="PT Astra Serif" w:cs="Times New Roman" w:ascii="Times New Roman" w:hAnsi="Times New Roman"/>
          <w:b/>
          <w:bCs/>
          <w:sz w:val="28"/>
          <w:szCs w:val="28"/>
        </w:rPr>
        <w:t xml:space="preserve">Роман Созаруков </w:t>
      </w:r>
      <w:r>
        <w:rPr>
          <w:rFonts w:eastAsia="PT Astra Serif" w:cs="Times New Roman" w:ascii="Times New Roman" w:hAnsi="Times New Roman"/>
          <w:sz w:val="28"/>
          <w:szCs w:val="28"/>
        </w:rPr>
        <w:t xml:space="preserve">дал высокую оценку работе, проводимой Управлением по взаимодействию с заявителями и представителями бизнес-сообществ: </w:t>
      </w:r>
      <w:r>
        <w:rPr>
          <w:rFonts w:eastAsia="PT Astra Serif" w:cs="Times New Roman" w:ascii="Times New Roman" w:hAnsi="Times New Roman"/>
          <w:i/>
          <w:sz w:val="28"/>
          <w:szCs w:val="28"/>
        </w:rPr>
        <w:t>«С каждым годом показатели эффективности и цифровизации деятельности Управления растут, цифровые услуги становятся доступнее для граждан, взаимодействие с участниками рынка недвижимости происходит быстрее и качественнее. Радует, что на законодательном уровне принимаются меры для обеспечения качества и комфорта физических и юридических лиц при получении государственных услуг Росреестра».</w:t>
      </w:r>
    </w:p>
    <w:p>
      <w:pPr>
        <w:pStyle w:val="Normal"/>
        <w:spacing w:lineRule="auto" w:line="240" w:before="720" w:after="0"/>
        <w:jc w:val="both"/>
        <w:rPr>
          <w:rFonts w:ascii="Times New Roman" w:hAnsi="Times New Roman" w:cs="Times New Roman"/>
          <w:b/>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4">
    <w:name w:val="Emphasis"/>
    <w:qFormat/>
    <w:rsid w:val="00e33a04"/>
    <w:rPr>
      <w:i/>
      <w:iCs/>
    </w:rPr>
  </w:style>
  <w:style w:type="character" w:styleId="Style15"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6"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6"/>
    <w:uiPriority w:val="99"/>
    <w:semiHidden/>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5"/>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Application>LibreOffice/7.5.6.2$Linux_X86_64 LibreOffice_project/50$Build-2</Application>
  <AppVersion>15.0000</AppVersion>
  <Pages>3</Pages>
  <Words>550</Words>
  <Characters>4240</Characters>
  <CharactersWithSpaces>4793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2025-01-17T10:22:00Z</cp:lastPrinted>
  <dcterms:modified xsi:type="dcterms:W3CDTF">2025-04-23T17:03:00Z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